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48269" w14:textId="77777777" w:rsidR="00B76D1F" w:rsidRDefault="00B76D1F" w:rsidP="00B76D1F">
      <w:pPr>
        <w:rPr>
          <w:b/>
          <w:bCs/>
          <w:sz w:val="28"/>
          <w:szCs w:val="28"/>
          <w:highlight w:val="green"/>
        </w:rPr>
      </w:pPr>
      <w:r w:rsidRPr="00BE07FE">
        <w:rPr>
          <w:b/>
          <w:bCs/>
          <w:sz w:val="28"/>
          <w:szCs w:val="28"/>
          <w:highlight w:val="green"/>
        </w:rPr>
        <w:t xml:space="preserve">Getting Started - FAQ’s </w:t>
      </w:r>
    </w:p>
    <w:tbl>
      <w:tblPr>
        <w:tblStyle w:val="TableGrid"/>
        <w:tblW w:w="0" w:type="auto"/>
        <w:tblLook w:val="04A0" w:firstRow="1" w:lastRow="0" w:firstColumn="1" w:lastColumn="0" w:noHBand="0" w:noVBand="1"/>
      </w:tblPr>
      <w:tblGrid>
        <w:gridCol w:w="3114"/>
        <w:gridCol w:w="5902"/>
      </w:tblGrid>
      <w:tr w:rsidR="00B76D1F" w14:paraId="19CB84CD" w14:textId="77777777" w:rsidTr="002B44BB">
        <w:tc>
          <w:tcPr>
            <w:tcW w:w="9016" w:type="dxa"/>
            <w:gridSpan w:val="2"/>
          </w:tcPr>
          <w:p w14:paraId="4B5BBF6D" w14:textId="77777777" w:rsidR="00B76D1F" w:rsidRPr="003B3BBD" w:rsidRDefault="00B76D1F" w:rsidP="002B44BB">
            <w:pPr>
              <w:jc w:val="center"/>
              <w:rPr>
                <w:b/>
                <w:bCs/>
                <w:sz w:val="28"/>
                <w:szCs w:val="28"/>
                <w:highlight w:val="green"/>
              </w:rPr>
            </w:pPr>
            <w:r w:rsidRPr="003B3BBD">
              <w:rPr>
                <w:b/>
                <w:bCs/>
                <w:sz w:val="28"/>
                <w:szCs w:val="28"/>
              </w:rPr>
              <w:t>Frequently Asked Questions – General</w:t>
            </w:r>
          </w:p>
        </w:tc>
      </w:tr>
      <w:tr w:rsidR="00B76D1F" w14:paraId="3DCEF589" w14:textId="77777777" w:rsidTr="002B44BB">
        <w:tc>
          <w:tcPr>
            <w:tcW w:w="3114" w:type="dxa"/>
          </w:tcPr>
          <w:p w14:paraId="2FB27BE6" w14:textId="77777777" w:rsidR="00B76D1F" w:rsidRPr="002D51A3" w:rsidRDefault="00B76D1F" w:rsidP="002B44BB">
            <w:r w:rsidRPr="002D51A3">
              <w:rPr>
                <w:b/>
                <w:bCs/>
              </w:rPr>
              <w:t>What is a Learner Experience Platform [LXP]?</w:t>
            </w:r>
          </w:p>
          <w:p w14:paraId="6D47EEB5" w14:textId="77777777" w:rsidR="00B76D1F" w:rsidRPr="002D51A3" w:rsidRDefault="00B76D1F" w:rsidP="002B44BB">
            <w:pPr>
              <w:rPr>
                <w:b/>
                <w:bCs/>
              </w:rPr>
            </w:pPr>
          </w:p>
        </w:tc>
        <w:tc>
          <w:tcPr>
            <w:tcW w:w="5902" w:type="dxa"/>
          </w:tcPr>
          <w:p w14:paraId="7B9D92E1" w14:textId="77777777" w:rsidR="00B76D1F" w:rsidRPr="002D51A3" w:rsidRDefault="00B76D1F" w:rsidP="002B44BB">
            <w:r w:rsidRPr="002D51A3">
              <w:t>A Learning Experience Platform is a piece of software that creates more personalised learning experiences, and helps users discover new learning opportunities.  An example of this would be combining learning content from different sources, recommending and delivering them in a flexible way.</w:t>
            </w:r>
          </w:p>
          <w:p w14:paraId="6718CF20" w14:textId="77777777" w:rsidR="00B76D1F" w:rsidRPr="002D51A3" w:rsidRDefault="00B76D1F" w:rsidP="002B44BB"/>
        </w:tc>
      </w:tr>
      <w:tr w:rsidR="00B76D1F" w14:paraId="0FB126E0" w14:textId="77777777" w:rsidTr="002B44BB">
        <w:tc>
          <w:tcPr>
            <w:tcW w:w="3114" w:type="dxa"/>
          </w:tcPr>
          <w:p w14:paraId="47AE6CB9" w14:textId="77777777" w:rsidR="00B76D1F" w:rsidRPr="002D51A3" w:rsidRDefault="00B76D1F" w:rsidP="002B44BB">
            <w:r w:rsidRPr="002D51A3">
              <w:rPr>
                <w:b/>
                <w:bCs/>
              </w:rPr>
              <w:t>What is a Learning Management System?</w:t>
            </w:r>
          </w:p>
          <w:p w14:paraId="098DDAE3" w14:textId="77777777" w:rsidR="00B76D1F" w:rsidRDefault="00B76D1F" w:rsidP="002B44BB">
            <w:pPr>
              <w:rPr>
                <w:b/>
                <w:bCs/>
                <w:sz w:val="28"/>
                <w:szCs w:val="28"/>
                <w:highlight w:val="green"/>
              </w:rPr>
            </w:pPr>
          </w:p>
        </w:tc>
        <w:tc>
          <w:tcPr>
            <w:tcW w:w="5902" w:type="dxa"/>
          </w:tcPr>
          <w:p w14:paraId="2212FC9A" w14:textId="77777777" w:rsidR="00B76D1F" w:rsidRPr="002D51A3" w:rsidRDefault="00B76D1F" w:rsidP="002B44BB">
            <w:r w:rsidRPr="002D51A3">
              <w:t>A Learning Management System is a piece of software designed to create a more engaging learning experience and blends online training courses with workplace-based, informal learning. </w:t>
            </w:r>
          </w:p>
          <w:p w14:paraId="4D715405" w14:textId="77777777" w:rsidR="00B76D1F" w:rsidRDefault="00B76D1F" w:rsidP="002B44BB">
            <w:pPr>
              <w:rPr>
                <w:b/>
                <w:bCs/>
                <w:sz w:val="28"/>
                <w:szCs w:val="28"/>
                <w:highlight w:val="green"/>
              </w:rPr>
            </w:pPr>
          </w:p>
        </w:tc>
      </w:tr>
      <w:tr w:rsidR="00B76D1F" w14:paraId="0F6DEF2E" w14:textId="77777777" w:rsidTr="002B44BB">
        <w:tc>
          <w:tcPr>
            <w:tcW w:w="3114" w:type="dxa"/>
          </w:tcPr>
          <w:p w14:paraId="1A2D17CC" w14:textId="77777777" w:rsidR="00B76D1F" w:rsidRPr="002D51A3" w:rsidRDefault="00B76D1F" w:rsidP="002B44BB">
            <w:r w:rsidRPr="002D51A3">
              <w:rPr>
                <w:b/>
                <w:bCs/>
              </w:rPr>
              <w:t xml:space="preserve">What is </w:t>
            </w:r>
            <w:proofErr w:type="spellStart"/>
            <w:r w:rsidRPr="002D51A3">
              <w:rPr>
                <w:b/>
                <w:bCs/>
              </w:rPr>
              <w:t>Thinqi</w:t>
            </w:r>
            <w:proofErr w:type="spellEnd"/>
            <w:r w:rsidRPr="002D51A3">
              <w:rPr>
                <w:b/>
                <w:bCs/>
              </w:rPr>
              <w:t xml:space="preserve"> [‘Think-e’]?</w:t>
            </w:r>
          </w:p>
          <w:p w14:paraId="4EF6BE55" w14:textId="77777777" w:rsidR="00B76D1F" w:rsidRDefault="00B76D1F" w:rsidP="002B44BB">
            <w:pPr>
              <w:rPr>
                <w:b/>
                <w:bCs/>
                <w:sz w:val="28"/>
                <w:szCs w:val="28"/>
                <w:highlight w:val="green"/>
              </w:rPr>
            </w:pPr>
          </w:p>
        </w:tc>
        <w:tc>
          <w:tcPr>
            <w:tcW w:w="5902" w:type="dxa"/>
          </w:tcPr>
          <w:p w14:paraId="6AF098D2" w14:textId="77777777" w:rsidR="00B76D1F" w:rsidRPr="002D51A3" w:rsidRDefault="00B76D1F" w:rsidP="002B44BB">
            <w:proofErr w:type="spellStart"/>
            <w:r w:rsidRPr="002D51A3">
              <w:t>Thinqi</w:t>
            </w:r>
            <w:proofErr w:type="spellEnd"/>
            <w:r w:rsidRPr="002D51A3">
              <w:t xml:space="preserve"> brings together the features of a modern LMS to help organise and manage your learning needs </w:t>
            </w:r>
            <w:proofErr w:type="spellStart"/>
            <w:r w:rsidRPr="002D51A3">
              <w:t>eg</w:t>
            </w:r>
            <w:proofErr w:type="spellEnd"/>
            <w:r w:rsidRPr="002D51A3">
              <w:t xml:space="preserve"> by making content available to you and our workforce.  It does this while combining the features of an LXP to deliver a more personalised learning experience that enables users to discover a broader variety of learning sources and resources.</w:t>
            </w:r>
          </w:p>
          <w:p w14:paraId="2B23973E" w14:textId="77777777" w:rsidR="00B76D1F" w:rsidRDefault="00B76D1F" w:rsidP="002B44BB">
            <w:pPr>
              <w:rPr>
                <w:b/>
                <w:bCs/>
                <w:sz w:val="28"/>
                <w:szCs w:val="28"/>
                <w:highlight w:val="green"/>
              </w:rPr>
            </w:pPr>
          </w:p>
        </w:tc>
      </w:tr>
      <w:tr w:rsidR="00B76D1F" w14:paraId="05A73651" w14:textId="77777777" w:rsidTr="002B44BB">
        <w:tc>
          <w:tcPr>
            <w:tcW w:w="3114" w:type="dxa"/>
          </w:tcPr>
          <w:p w14:paraId="077D8065" w14:textId="77777777" w:rsidR="00B76D1F" w:rsidRPr="002D51A3" w:rsidRDefault="00B76D1F" w:rsidP="002B44BB">
            <w:r w:rsidRPr="002D51A3">
              <w:rPr>
                <w:b/>
                <w:bCs/>
              </w:rPr>
              <w:t>Why do we need a Learning Management System?</w:t>
            </w:r>
          </w:p>
          <w:p w14:paraId="74B35D82" w14:textId="77777777" w:rsidR="00B76D1F" w:rsidRPr="002D51A3" w:rsidRDefault="00B76D1F" w:rsidP="002B44BB">
            <w:pPr>
              <w:rPr>
                <w:b/>
                <w:bCs/>
              </w:rPr>
            </w:pPr>
          </w:p>
        </w:tc>
        <w:tc>
          <w:tcPr>
            <w:tcW w:w="5902" w:type="dxa"/>
          </w:tcPr>
          <w:p w14:paraId="2017349F" w14:textId="77777777" w:rsidR="00B76D1F" w:rsidRPr="002D51A3" w:rsidRDefault="00B76D1F" w:rsidP="002B44BB">
            <w:r w:rsidRPr="002D51A3">
              <w:t xml:space="preserve">A Learning Management System can help upskill a workforce. It’s vital that we are not only able to reach people with the right learning in a way that they can access it </w:t>
            </w:r>
            <w:proofErr w:type="gramStart"/>
            <w:r w:rsidRPr="002D51A3">
              <w:t>easily, but</w:t>
            </w:r>
            <w:proofErr w:type="gramEnd"/>
            <w:r w:rsidRPr="002D51A3">
              <w:t xml:space="preserve"> can also assign the relevant development pathways to future-proof our workforce.</w:t>
            </w:r>
          </w:p>
          <w:p w14:paraId="354A7CEC" w14:textId="77777777" w:rsidR="00B76D1F" w:rsidRPr="002D51A3" w:rsidRDefault="00B76D1F" w:rsidP="002B44BB"/>
        </w:tc>
      </w:tr>
      <w:tr w:rsidR="00B76D1F" w14:paraId="210B35CE" w14:textId="77777777" w:rsidTr="002B44BB">
        <w:tc>
          <w:tcPr>
            <w:tcW w:w="3114" w:type="dxa"/>
          </w:tcPr>
          <w:p w14:paraId="7ADB66F6" w14:textId="77777777" w:rsidR="00B76D1F" w:rsidRPr="002D51A3" w:rsidRDefault="00B76D1F" w:rsidP="002B44BB">
            <w:r w:rsidRPr="002D51A3">
              <w:rPr>
                <w:b/>
                <w:bCs/>
              </w:rPr>
              <w:t xml:space="preserve">When will </w:t>
            </w:r>
            <w:proofErr w:type="spellStart"/>
            <w:r w:rsidRPr="002D51A3">
              <w:rPr>
                <w:b/>
                <w:bCs/>
              </w:rPr>
              <w:t>Thinqi</w:t>
            </w:r>
            <w:proofErr w:type="spellEnd"/>
            <w:r w:rsidRPr="002D51A3">
              <w:rPr>
                <w:b/>
                <w:bCs/>
              </w:rPr>
              <w:t xml:space="preserve"> be available to me? Other staff members are already using it?</w:t>
            </w:r>
          </w:p>
          <w:p w14:paraId="4E09EBA5" w14:textId="77777777" w:rsidR="00B76D1F" w:rsidRPr="002D51A3" w:rsidRDefault="00B76D1F" w:rsidP="002B44BB">
            <w:pPr>
              <w:rPr>
                <w:b/>
                <w:bCs/>
              </w:rPr>
            </w:pPr>
          </w:p>
        </w:tc>
        <w:tc>
          <w:tcPr>
            <w:tcW w:w="5902" w:type="dxa"/>
          </w:tcPr>
          <w:p w14:paraId="6DA1F194" w14:textId="77777777" w:rsidR="00B76D1F" w:rsidRPr="002D51A3" w:rsidRDefault="00B76D1F" w:rsidP="002B44BB">
            <w:proofErr w:type="spellStart"/>
            <w:r w:rsidRPr="002D51A3">
              <w:t>Thinqi</w:t>
            </w:r>
            <w:proofErr w:type="spellEnd"/>
            <w:r w:rsidRPr="002D51A3">
              <w:t xml:space="preserve"> is being rolled out across all departments of the Council and will be available to all staff.  This is being arranged in phases, and all staff will be set up with a user account over the coming months.</w:t>
            </w:r>
          </w:p>
          <w:p w14:paraId="78BDB665" w14:textId="77777777" w:rsidR="00B76D1F" w:rsidRPr="002D51A3" w:rsidRDefault="00B76D1F" w:rsidP="002B44BB"/>
        </w:tc>
      </w:tr>
      <w:tr w:rsidR="00B76D1F" w14:paraId="24975E3A" w14:textId="77777777" w:rsidTr="002B44BB">
        <w:tc>
          <w:tcPr>
            <w:tcW w:w="3114" w:type="dxa"/>
          </w:tcPr>
          <w:p w14:paraId="461BF614" w14:textId="77777777" w:rsidR="00B76D1F" w:rsidRPr="002D51A3" w:rsidRDefault="00B76D1F" w:rsidP="002B44BB">
            <w:r w:rsidRPr="002D51A3">
              <w:rPr>
                <w:b/>
                <w:bCs/>
              </w:rPr>
              <w:t xml:space="preserve">Why haven’t I got </w:t>
            </w:r>
            <w:proofErr w:type="gramStart"/>
            <w:r w:rsidRPr="002D51A3">
              <w:rPr>
                <w:b/>
                <w:bCs/>
              </w:rPr>
              <w:t>all of</w:t>
            </w:r>
            <w:proofErr w:type="gramEnd"/>
            <w:r w:rsidRPr="002D51A3">
              <w:rPr>
                <w:b/>
                <w:bCs/>
              </w:rPr>
              <w:t xml:space="preserve"> the icons that I’ve seen on the video?</w:t>
            </w:r>
          </w:p>
          <w:p w14:paraId="39BC39BA" w14:textId="77777777" w:rsidR="00B76D1F" w:rsidRPr="002D51A3" w:rsidRDefault="00B76D1F" w:rsidP="002B44BB">
            <w:pPr>
              <w:rPr>
                <w:b/>
                <w:bCs/>
              </w:rPr>
            </w:pPr>
          </w:p>
        </w:tc>
        <w:tc>
          <w:tcPr>
            <w:tcW w:w="5902" w:type="dxa"/>
          </w:tcPr>
          <w:p w14:paraId="04FF73F5" w14:textId="77777777" w:rsidR="00B76D1F" w:rsidRPr="002D51A3" w:rsidRDefault="00B76D1F" w:rsidP="002B44BB">
            <w:r w:rsidRPr="002D51A3">
              <w:t xml:space="preserve">The initial priority for everyone is to familiarise themselves with the system and complete the Essential Learning.  Once the system has been rolled out to all </w:t>
            </w:r>
            <w:r>
              <w:t>BGCBC</w:t>
            </w:r>
            <w:r w:rsidRPr="002D51A3">
              <w:t xml:space="preserve"> users, we will be adding more content and enabling more of the icons. </w:t>
            </w:r>
          </w:p>
          <w:p w14:paraId="57103A3F" w14:textId="77777777" w:rsidR="00B76D1F" w:rsidRPr="002D51A3" w:rsidRDefault="00B76D1F" w:rsidP="002B44BB"/>
        </w:tc>
      </w:tr>
    </w:tbl>
    <w:p w14:paraId="5E069AA7" w14:textId="77777777" w:rsidR="00B76D1F" w:rsidRDefault="00B76D1F" w:rsidP="00B76D1F">
      <w:pPr>
        <w:rPr>
          <w:b/>
          <w:bCs/>
          <w:sz w:val="28"/>
          <w:szCs w:val="28"/>
          <w:highlight w:val="green"/>
        </w:rPr>
      </w:pPr>
    </w:p>
    <w:p w14:paraId="3E67F2BA" w14:textId="77777777" w:rsidR="00B76D1F" w:rsidRDefault="00B76D1F" w:rsidP="00B76D1F">
      <w:pPr>
        <w:rPr>
          <w:b/>
          <w:bCs/>
          <w:sz w:val="28"/>
          <w:szCs w:val="28"/>
          <w:highlight w:val="green"/>
        </w:rPr>
      </w:pPr>
    </w:p>
    <w:p w14:paraId="34D79F4A" w14:textId="77777777" w:rsidR="00B76D1F" w:rsidRDefault="00B76D1F" w:rsidP="00B76D1F">
      <w:pPr>
        <w:rPr>
          <w:b/>
          <w:bCs/>
          <w:sz w:val="28"/>
          <w:szCs w:val="28"/>
          <w:highlight w:val="green"/>
        </w:rPr>
      </w:pPr>
    </w:p>
    <w:p w14:paraId="4F06ABEE" w14:textId="77777777" w:rsidR="00B76D1F" w:rsidRDefault="00B76D1F" w:rsidP="00B76D1F">
      <w:pPr>
        <w:rPr>
          <w:b/>
          <w:bCs/>
          <w:sz w:val="28"/>
          <w:szCs w:val="28"/>
          <w:highlight w:val="green"/>
        </w:rPr>
      </w:pPr>
    </w:p>
    <w:tbl>
      <w:tblPr>
        <w:tblStyle w:val="TableGrid"/>
        <w:tblW w:w="0" w:type="auto"/>
        <w:tblLook w:val="04A0" w:firstRow="1" w:lastRow="0" w:firstColumn="1" w:lastColumn="0" w:noHBand="0" w:noVBand="1"/>
      </w:tblPr>
      <w:tblGrid>
        <w:gridCol w:w="3114"/>
        <w:gridCol w:w="5902"/>
      </w:tblGrid>
      <w:tr w:rsidR="00B76D1F" w14:paraId="3C333980" w14:textId="77777777" w:rsidTr="002B44BB">
        <w:tc>
          <w:tcPr>
            <w:tcW w:w="9016" w:type="dxa"/>
            <w:gridSpan w:val="2"/>
          </w:tcPr>
          <w:p w14:paraId="4DFE9F54" w14:textId="77777777" w:rsidR="00B76D1F" w:rsidRPr="003B3BBD" w:rsidRDefault="00B76D1F" w:rsidP="002B44BB">
            <w:pPr>
              <w:jc w:val="center"/>
              <w:rPr>
                <w:b/>
                <w:bCs/>
                <w:sz w:val="28"/>
                <w:szCs w:val="28"/>
                <w:highlight w:val="green"/>
              </w:rPr>
            </w:pPr>
            <w:r w:rsidRPr="003B3BBD">
              <w:rPr>
                <w:b/>
                <w:bCs/>
                <w:sz w:val="28"/>
                <w:szCs w:val="28"/>
              </w:rPr>
              <w:t xml:space="preserve">Frequently Asked Questions – </w:t>
            </w:r>
            <w:r>
              <w:rPr>
                <w:b/>
                <w:bCs/>
                <w:sz w:val="28"/>
                <w:szCs w:val="28"/>
              </w:rPr>
              <w:t xml:space="preserve">Access and Logging on </w:t>
            </w:r>
          </w:p>
        </w:tc>
      </w:tr>
      <w:tr w:rsidR="00B76D1F" w14:paraId="6614C294" w14:textId="77777777" w:rsidTr="002B44BB">
        <w:tc>
          <w:tcPr>
            <w:tcW w:w="3114" w:type="dxa"/>
          </w:tcPr>
          <w:p w14:paraId="1431B121" w14:textId="77777777" w:rsidR="00B76D1F" w:rsidRPr="002D51A3" w:rsidRDefault="00B76D1F" w:rsidP="002B44BB">
            <w:r w:rsidRPr="002D51A3">
              <w:rPr>
                <w:b/>
                <w:bCs/>
              </w:rPr>
              <w:t xml:space="preserve">Can I get </w:t>
            </w:r>
            <w:proofErr w:type="spellStart"/>
            <w:r w:rsidRPr="002D51A3">
              <w:rPr>
                <w:b/>
                <w:bCs/>
              </w:rPr>
              <w:t>Thinqi</w:t>
            </w:r>
            <w:proofErr w:type="spellEnd"/>
            <w:r w:rsidRPr="002D51A3">
              <w:rPr>
                <w:b/>
                <w:bCs/>
              </w:rPr>
              <w:t xml:space="preserve"> on my mobile?</w:t>
            </w:r>
          </w:p>
          <w:p w14:paraId="5164F95B" w14:textId="77777777" w:rsidR="00B76D1F" w:rsidRPr="002D51A3" w:rsidRDefault="00B76D1F" w:rsidP="002B44BB">
            <w:pPr>
              <w:rPr>
                <w:b/>
                <w:bCs/>
              </w:rPr>
            </w:pPr>
          </w:p>
        </w:tc>
        <w:tc>
          <w:tcPr>
            <w:tcW w:w="5902" w:type="dxa"/>
          </w:tcPr>
          <w:p w14:paraId="29BF0502" w14:textId="77777777" w:rsidR="00B76D1F" w:rsidRPr="002D51A3" w:rsidRDefault="00B76D1F" w:rsidP="002B44BB">
            <w:r w:rsidRPr="002D51A3">
              <w:lastRenderedPageBreak/>
              <w:t xml:space="preserve">Yes, we have worked with </w:t>
            </w:r>
            <w:proofErr w:type="spellStart"/>
            <w:r w:rsidRPr="002D51A3">
              <w:t>Thinqi</w:t>
            </w:r>
            <w:proofErr w:type="spellEnd"/>
            <w:r w:rsidRPr="002D51A3">
              <w:t xml:space="preserve"> so that the new system is fully responsive for mobile devices and modern web </w:t>
            </w:r>
            <w:r w:rsidRPr="002D51A3">
              <w:lastRenderedPageBreak/>
              <w:t xml:space="preserve">browsers so you're free to learn on the go. If it’s a </w:t>
            </w:r>
            <w:r>
              <w:t>Blaenau Gwent</w:t>
            </w:r>
            <w:r w:rsidRPr="002D51A3">
              <w:t xml:space="preserve"> device and connected to the council network, you can use the Single Sign On option to log on. </w:t>
            </w:r>
          </w:p>
          <w:p w14:paraId="202FD540" w14:textId="77777777" w:rsidR="00B76D1F" w:rsidRPr="002D51A3" w:rsidRDefault="00B76D1F" w:rsidP="002B44BB"/>
        </w:tc>
      </w:tr>
      <w:tr w:rsidR="00B76D1F" w14:paraId="40DD3EAA" w14:textId="77777777" w:rsidTr="002B44BB">
        <w:tc>
          <w:tcPr>
            <w:tcW w:w="3114" w:type="dxa"/>
          </w:tcPr>
          <w:p w14:paraId="457988CC" w14:textId="77777777" w:rsidR="00B76D1F" w:rsidRPr="002D51A3" w:rsidRDefault="00B76D1F" w:rsidP="002B44BB">
            <w:r>
              <w:rPr>
                <w:b/>
                <w:bCs/>
              </w:rPr>
              <w:lastRenderedPageBreak/>
              <w:t xml:space="preserve">What if I do not have a Blaenau Gwent email address?  </w:t>
            </w:r>
          </w:p>
          <w:p w14:paraId="6281DC90" w14:textId="77777777" w:rsidR="00B76D1F" w:rsidRDefault="00B76D1F" w:rsidP="002B44BB">
            <w:pPr>
              <w:rPr>
                <w:b/>
                <w:bCs/>
                <w:sz w:val="28"/>
                <w:szCs w:val="28"/>
                <w:highlight w:val="green"/>
              </w:rPr>
            </w:pPr>
          </w:p>
        </w:tc>
        <w:tc>
          <w:tcPr>
            <w:tcW w:w="5902" w:type="dxa"/>
          </w:tcPr>
          <w:p w14:paraId="2AF77414" w14:textId="77777777" w:rsidR="00B76D1F" w:rsidRDefault="00B76D1F" w:rsidP="002B44BB">
            <w:proofErr w:type="spellStart"/>
            <w:r>
              <w:t>Thinqi</w:t>
            </w:r>
            <w:proofErr w:type="spellEnd"/>
            <w:r>
              <w:t xml:space="preserve"> will be available via your personal email address – this will be the email address that you have stored in </w:t>
            </w:r>
            <w:proofErr w:type="spellStart"/>
            <w:r>
              <w:t>iTrent</w:t>
            </w:r>
            <w:proofErr w:type="spellEnd"/>
            <w:r>
              <w:t xml:space="preserve">.  To check this and make any adjustments go to Employee </w:t>
            </w:r>
            <w:proofErr w:type="spellStart"/>
            <w:r>
              <w:t>Self Serve</w:t>
            </w:r>
            <w:proofErr w:type="spellEnd"/>
            <w:r>
              <w:t xml:space="preserve"> (ESS) </w:t>
            </w:r>
            <w:hyperlink r:id="rId4" w:anchor="/login?page=login" w:history="1">
              <w:r w:rsidRPr="00CF7CDF">
                <w:rPr>
                  <w:rStyle w:val="Hyperlink"/>
                </w:rPr>
                <w:t>ESS - Login</w:t>
              </w:r>
            </w:hyperlink>
          </w:p>
          <w:p w14:paraId="722CEF17" w14:textId="77777777" w:rsidR="00B76D1F" w:rsidRDefault="00B76D1F" w:rsidP="002B44BB">
            <w:pPr>
              <w:rPr>
                <w:b/>
                <w:bCs/>
                <w:sz w:val="28"/>
                <w:szCs w:val="28"/>
                <w:highlight w:val="green"/>
              </w:rPr>
            </w:pPr>
          </w:p>
        </w:tc>
      </w:tr>
      <w:tr w:rsidR="00B76D1F" w14:paraId="42DCD9D6" w14:textId="77777777" w:rsidTr="002B44BB">
        <w:tc>
          <w:tcPr>
            <w:tcW w:w="3114" w:type="dxa"/>
          </w:tcPr>
          <w:p w14:paraId="02B9DC99" w14:textId="77777777" w:rsidR="00B76D1F" w:rsidRPr="002D51A3" w:rsidRDefault="00B76D1F" w:rsidP="002B44BB">
            <w:r w:rsidRPr="002D51A3">
              <w:rPr>
                <w:b/>
                <w:bCs/>
              </w:rPr>
              <w:t>I’ve followed the instructions but can’t log on. Where can I get help?</w:t>
            </w:r>
          </w:p>
          <w:p w14:paraId="2F508F15" w14:textId="77777777" w:rsidR="00B76D1F" w:rsidRDefault="00B76D1F" w:rsidP="002B44BB">
            <w:pPr>
              <w:rPr>
                <w:b/>
                <w:bCs/>
                <w:sz w:val="28"/>
                <w:szCs w:val="28"/>
                <w:highlight w:val="green"/>
              </w:rPr>
            </w:pPr>
          </w:p>
        </w:tc>
        <w:tc>
          <w:tcPr>
            <w:tcW w:w="5902" w:type="dxa"/>
          </w:tcPr>
          <w:p w14:paraId="408DE6A2" w14:textId="77777777" w:rsidR="00B76D1F" w:rsidRDefault="00B76D1F" w:rsidP="002B44BB">
            <w:r w:rsidRPr="002D51A3">
              <w:t xml:space="preserve">If you’re trying to use the Single Sign On option to log on to </w:t>
            </w:r>
            <w:proofErr w:type="spellStart"/>
            <w:r w:rsidRPr="002D51A3">
              <w:t>Thinqi</w:t>
            </w:r>
            <w:proofErr w:type="spellEnd"/>
            <w:r w:rsidRPr="002D51A3">
              <w:t xml:space="preserve">, ensure that you’re using a council device, and are connected to the </w:t>
            </w:r>
            <w:r>
              <w:t>Blaenau Gwent</w:t>
            </w:r>
            <w:r w:rsidRPr="002D51A3">
              <w:t xml:space="preserve"> network.</w:t>
            </w:r>
          </w:p>
          <w:p w14:paraId="1ED5A2B4" w14:textId="77777777" w:rsidR="00B76D1F" w:rsidRPr="002D51A3" w:rsidRDefault="00B76D1F" w:rsidP="002B44BB"/>
          <w:p w14:paraId="04CFA2AB" w14:textId="77777777" w:rsidR="00B76D1F" w:rsidRDefault="00B76D1F" w:rsidP="002B44BB">
            <w:r w:rsidRPr="002D51A3">
              <w:t xml:space="preserve">If you </w:t>
            </w:r>
            <w:r>
              <w:t xml:space="preserve">are </w:t>
            </w:r>
            <w:r w:rsidRPr="002D51A3">
              <w:t>trying to log on</w:t>
            </w:r>
            <w:r>
              <w:t xml:space="preserve"> with either your work or personal email address, </w:t>
            </w:r>
            <w:r w:rsidRPr="002D51A3">
              <w:t xml:space="preserve">click ‘Forgotten your password?’ and enter your email address to reset your </w:t>
            </w:r>
            <w:proofErr w:type="spellStart"/>
            <w:r w:rsidRPr="002D51A3">
              <w:t>Thinqi</w:t>
            </w:r>
            <w:proofErr w:type="spellEnd"/>
            <w:r w:rsidRPr="002D51A3">
              <w:t xml:space="preserve"> password.</w:t>
            </w:r>
          </w:p>
          <w:p w14:paraId="2CA03458" w14:textId="77777777" w:rsidR="00B76D1F" w:rsidRPr="002D51A3" w:rsidRDefault="00B76D1F" w:rsidP="002B44BB"/>
          <w:p w14:paraId="1904CC9E" w14:textId="77777777" w:rsidR="00B76D1F" w:rsidRPr="002D51A3" w:rsidRDefault="00B76D1F" w:rsidP="002B44BB">
            <w:r w:rsidRPr="002D51A3">
              <w:t>If you are still unable to log on, email</w:t>
            </w:r>
            <w:r>
              <w:t xml:space="preserve"> </w:t>
            </w:r>
            <w:r w:rsidRPr="002D51A3">
              <w:t> </w:t>
            </w:r>
            <w:hyperlink r:id="rId5" w:history="1">
              <w:r w:rsidRPr="004B21D0">
                <w:rPr>
                  <w:rStyle w:val="Hyperlink"/>
                </w:rPr>
                <w:t>thinqisupport@blaenau-gwent.gov.uk</w:t>
              </w:r>
            </w:hyperlink>
            <w:r>
              <w:t xml:space="preserve"> </w:t>
            </w:r>
            <w:r w:rsidRPr="002D51A3">
              <w:t>giving details of the issue, and one of the team will be able to support.  They will need your</w:t>
            </w:r>
            <w:r>
              <w:t xml:space="preserve"> full name and</w:t>
            </w:r>
            <w:r w:rsidRPr="002D51A3">
              <w:t xml:space="preserve"> </w:t>
            </w:r>
            <w:r>
              <w:t>preferred</w:t>
            </w:r>
            <w:r w:rsidRPr="002D51A3">
              <w:t xml:space="preserve"> email address </w:t>
            </w:r>
            <w:proofErr w:type="gramStart"/>
            <w:r w:rsidRPr="002D51A3">
              <w:t>in order to</w:t>
            </w:r>
            <w:proofErr w:type="gramEnd"/>
            <w:r w:rsidRPr="002D51A3">
              <w:t xml:space="preserve"> identify your record.</w:t>
            </w:r>
          </w:p>
          <w:p w14:paraId="682A8929" w14:textId="77777777" w:rsidR="00B76D1F" w:rsidRDefault="00B76D1F" w:rsidP="002B44BB">
            <w:pPr>
              <w:rPr>
                <w:b/>
                <w:bCs/>
                <w:sz w:val="28"/>
                <w:szCs w:val="28"/>
                <w:highlight w:val="green"/>
              </w:rPr>
            </w:pPr>
          </w:p>
        </w:tc>
      </w:tr>
    </w:tbl>
    <w:p w14:paraId="2D9DCED2" w14:textId="77777777" w:rsidR="00B76D1F" w:rsidRDefault="00B76D1F" w:rsidP="00B76D1F">
      <w:pPr>
        <w:rPr>
          <w:b/>
          <w:bCs/>
          <w:sz w:val="28"/>
          <w:szCs w:val="28"/>
          <w:highlight w:val="green"/>
        </w:rPr>
      </w:pPr>
    </w:p>
    <w:tbl>
      <w:tblPr>
        <w:tblStyle w:val="TableGrid"/>
        <w:tblW w:w="0" w:type="auto"/>
        <w:tblLook w:val="04A0" w:firstRow="1" w:lastRow="0" w:firstColumn="1" w:lastColumn="0" w:noHBand="0" w:noVBand="1"/>
      </w:tblPr>
      <w:tblGrid>
        <w:gridCol w:w="3114"/>
        <w:gridCol w:w="5902"/>
      </w:tblGrid>
      <w:tr w:rsidR="00B76D1F" w14:paraId="0E4C5A17" w14:textId="77777777" w:rsidTr="002B44BB">
        <w:tc>
          <w:tcPr>
            <w:tcW w:w="9016" w:type="dxa"/>
            <w:gridSpan w:val="2"/>
          </w:tcPr>
          <w:p w14:paraId="1A140D3B" w14:textId="77777777" w:rsidR="00B76D1F" w:rsidRPr="003B3BBD" w:rsidRDefault="00B76D1F" w:rsidP="002B44BB">
            <w:pPr>
              <w:jc w:val="center"/>
              <w:rPr>
                <w:b/>
                <w:bCs/>
                <w:sz w:val="28"/>
                <w:szCs w:val="28"/>
                <w:highlight w:val="green"/>
              </w:rPr>
            </w:pPr>
            <w:r w:rsidRPr="003B3BBD">
              <w:rPr>
                <w:b/>
                <w:bCs/>
                <w:sz w:val="28"/>
                <w:szCs w:val="28"/>
              </w:rPr>
              <w:t xml:space="preserve">Frequently Asked Questions – </w:t>
            </w:r>
            <w:r>
              <w:rPr>
                <w:b/>
                <w:bCs/>
                <w:sz w:val="28"/>
                <w:szCs w:val="28"/>
              </w:rPr>
              <w:t xml:space="preserve">People  </w:t>
            </w:r>
          </w:p>
        </w:tc>
      </w:tr>
      <w:tr w:rsidR="00B76D1F" w14:paraId="6F838424" w14:textId="77777777" w:rsidTr="002B44BB">
        <w:tc>
          <w:tcPr>
            <w:tcW w:w="3114" w:type="dxa"/>
          </w:tcPr>
          <w:p w14:paraId="2228ED0A" w14:textId="77777777" w:rsidR="00B76D1F" w:rsidRPr="002D51A3" w:rsidRDefault="00B76D1F" w:rsidP="002B44BB">
            <w:r w:rsidRPr="002D51A3">
              <w:rPr>
                <w:b/>
                <w:bCs/>
              </w:rPr>
              <w:t>I’m a manager, but the team members showing when I click on the People icon are incorrect. What do I do?</w:t>
            </w:r>
          </w:p>
          <w:p w14:paraId="171A5374" w14:textId="77777777" w:rsidR="00B76D1F" w:rsidRPr="002D51A3" w:rsidRDefault="00B76D1F" w:rsidP="002B44BB">
            <w:pPr>
              <w:rPr>
                <w:b/>
                <w:bCs/>
              </w:rPr>
            </w:pPr>
          </w:p>
        </w:tc>
        <w:tc>
          <w:tcPr>
            <w:tcW w:w="5902" w:type="dxa"/>
          </w:tcPr>
          <w:p w14:paraId="6800532B" w14:textId="77777777" w:rsidR="00B76D1F" w:rsidRPr="002D51A3" w:rsidRDefault="00B76D1F" w:rsidP="002B44BB">
            <w:proofErr w:type="spellStart"/>
            <w:r w:rsidRPr="002D51A3">
              <w:t>Thinqi</w:t>
            </w:r>
            <w:proofErr w:type="spellEnd"/>
            <w:r w:rsidRPr="002D51A3">
              <w:t xml:space="preserve"> obtains information from your team directly from </w:t>
            </w:r>
            <w:proofErr w:type="spellStart"/>
            <w:r>
              <w:t>iTrent</w:t>
            </w:r>
            <w:proofErr w:type="spellEnd"/>
            <w:r w:rsidRPr="002D51A3">
              <w:t xml:space="preserve">, so it’s important to keep that information updated, not only for </w:t>
            </w:r>
            <w:proofErr w:type="spellStart"/>
            <w:r w:rsidRPr="002D51A3">
              <w:t>Thinqi</w:t>
            </w:r>
            <w:proofErr w:type="spellEnd"/>
            <w:r w:rsidRPr="002D51A3">
              <w:t xml:space="preserve">, but also so that you see </w:t>
            </w:r>
            <w:r>
              <w:t xml:space="preserve">and manage your team in </w:t>
            </w:r>
            <w:proofErr w:type="spellStart"/>
            <w:r>
              <w:t>iTrent</w:t>
            </w:r>
            <w:proofErr w:type="spellEnd"/>
            <w:r>
              <w:t xml:space="preserve"> correctly.  </w:t>
            </w:r>
            <w:r w:rsidRPr="002D51A3">
              <w:t xml:space="preserve"> </w:t>
            </w:r>
            <w:r>
              <w:t xml:space="preserve">Contact </w:t>
            </w:r>
            <w:hyperlink r:id="rId6" w:history="1">
              <w:r w:rsidRPr="004B21D0">
                <w:rPr>
                  <w:rStyle w:val="Hyperlink"/>
                </w:rPr>
                <w:t>hrpayroll@blaenau-gwent.gov.uk</w:t>
              </w:r>
            </w:hyperlink>
            <w:r w:rsidRPr="002D51A3">
              <w:t> for support if there are any discrepancies</w:t>
            </w:r>
          </w:p>
        </w:tc>
      </w:tr>
      <w:tr w:rsidR="00B76D1F" w14:paraId="292DE293" w14:textId="77777777" w:rsidTr="002B44BB">
        <w:tc>
          <w:tcPr>
            <w:tcW w:w="3114" w:type="dxa"/>
          </w:tcPr>
          <w:p w14:paraId="23714C05" w14:textId="77777777" w:rsidR="00B76D1F" w:rsidRPr="002D51A3" w:rsidRDefault="00B76D1F" w:rsidP="002B44BB">
            <w:r w:rsidRPr="002D51A3">
              <w:rPr>
                <w:b/>
                <w:bCs/>
              </w:rPr>
              <w:t xml:space="preserve">I’m a manager and have recruited someone who is transferring from another post within </w:t>
            </w:r>
            <w:r>
              <w:rPr>
                <w:b/>
                <w:bCs/>
              </w:rPr>
              <w:t>Blaenau Gwent</w:t>
            </w:r>
            <w:r w:rsidRPr="002D51A3">
              <w:rPr>
                <w:b/>
                <w:bCs/>
              </w:rPr>
              <w:t xml:space="preserve">. Do they need to get different access to </w:t>
            </w:r>
            <w:proofErr w:type="spellStart"/>
            <w:r w:rsidRPr="002D51A3">
              <w:rPr>
                <w:b/>
                <w:bCs/>
              </w:rPr>
              <w:t>Thinqi</w:t>
            </w:r>
            <w:proofErr w:type="spellEnd"/>
            <w:r w:rsidRPr="002D51A3">
              <w:rPr>
                <w:b/>
                <w:bCs/>
              </w:rPr>
              <w:t>?</w:t>
            </w:r>
          </w:p>
          <w:p w14:paraId="4C7E27DE" w14:textId="77777777" w:rsidR="00B76D1F" w:rsidRDefault="00B76D1F" w:rsidP="002B44BB">
            <w:pPr>
              <w:rPr>
                <w:b/>
                <w:bCs/>
                <w:sz w:val="28"/>
                <w:szCs w:val="28"/>
                <w:highlight w:val="green"/>
              </w:rPr>
            </w:pPr>
          </w:p>
        </w:tc>
        <w:tc>
          <w:tcPr>
            <w:tcW w:w="5902" w:type="dxa"/>
          </w:tcPr>
          <w:p w14:paraId="1ECC5780" w14:textId="77777777" w:rsidR="00B76D1F" w:rsidRDefault="00B76D1F" w:rsidP="002B44BB">
            <w:pPr>
              <w:rPr>
                <w:b/>
                <w:bCs/>
              </w:rPr>
            </w:pPr>
            <w:r w:rsidRPr="002D51A3">
              <w:t xml:space="preserve">No. Once the transfer form has been processed and </w:t>
            </w:r>
            <w:proofErr w:type="spellStart"/>
            <w:r>
              <w:t>iTrent</w:t>
            </w:r>
            <w:proofErr w:type="spellEnd"/>
            <w:r w:rsidRPr="002D51A3">
              <w:t xml:space="preserve"> has been updated with details of the new post and line manager, </w:t>
            </w:r>
            <w:proofErr w:type="spellStart"/>
            <w:r w:rsidRPr="002D51A3">
              <w:t>Thinqi</w:t>
            </w:r>
            <w:proofErr w:type="spellEnd"/>
            <w:r w:rsidRPr="002D51A3">
              <w:t xml:space="preserve"> will update these details automatically overnight. </w:t>
            </w:r>
            <w:r w:rsidRPr="002D51A3">
              <w:rPr>
                <w:b/>
                <w:bCs/>
              </w:rPr>
              <w:t xml:space="preserve">Note that the details will not change on </w:t>
            </w:r>
            <w:proofErr w:type="spellStart"/>
            <w:r w:rsidRPr="002D51A3">
              <w:rPr>
                <w:b/>
                <w:bCs/>
              </w:rPr>
              <w:t>Thinqi</w:t>
            </w:r>
            <w:proofErr w:type="spellEnd"/>
            <w:r w:rsidRPr="002D51A3">
              <w:rPr>
                <w:b/>
                <w:bCs/>
              </w:rPr>
              <w:t xml:space="preserve"> prior to the start date in the new role.</w:t>
            </w:r>
          </w:p>
          <w:p w14:paraId="204599E6" w14:textId="77777777" w:rsidR="00B76D1F" w:rsidRDefault="00B76D1F" w:rsidP="002B44BB">
            <w:pPr>
              <w:rPr>
                <w:b/>
                <w:bCs/>
                <w:sz w:val="28"/>
                <w:szCs w:val="28"/>
                <w:highlight w:val="green"/>
              </w:rPr>
            </w:pPr>
          </w:p>
        </w:tc>
      </w:tr>
      <w:tr w:rsidR="00B76D1F" w14:paraId="5B952269" w14:textId="77777777" w:rsidTr="002B44BB">
        <w:tc>
          <w:tcPr>
            <w:tcW w:w="3114" w:type="dxa"/>
          </w:tcPr>
          <w:p w14:paraId="6059E8F5" w14:textId="77777777" w:rsidR="00B76D1F" w:rsidRPr="002D51A3" w:rsidRDefault="00B76D1F" w:rsidP="002B44BB">
            <w:r w:rsidRPr="002D51A3">
              <w:rPr>
                <w:b/>
                <w:bCs/>
              </w:rPr>
              <w:t xml:space="preserve">I’m a manager and have recruited a new member of the team who is new to </w:t>
            </w:r>
            <w:r>
              <w:rPr>
                <w:b/>
                <w:bCs/>
              </w:rPr>
              <w:t>Blaenau Gwent</w:t>
            </w:r>
            <w:r w:rsidRPr="002D51A3">
              <w:rPr>
                <w:b/>
                <w:bCs/>
              </w:rPr>
              <w:t xml:space="preserve">. How do I request access to </w:t>
            </w:r>
            <w:proofErr w:type="spellStart"/>
            <w:r w:rsidRPr="002D51A3">
              <w:rPr>
                <w:b/>
                <w:bCs/>
              </w:rPr>
              <w:t>Thinqi</w:t>
            </w:r>
            <w:proofErr w:type="spellEnd"/>
            <w:r w:rsidRPr="002D51A3">
              <w:rPr>
                <w:b/>
                <w:bCs/>
              </w:rPr>
              <w:t>?</w:t>
            </w:r>
          </w:p>
          <w:p w14:paraId="744AEABF" w14:textId="77777777" w:rsidR="00B76D1F" w:rsidRDefault="00B76D1F" w:rsidP="002B44BB">
            <w:pPr>
              <w:rPr>
                <w:b/>
                <w:bCs/>
                <w:sz w:val="28"/>
                <w:szCs w:val="28"/>
                <w:highlight w:val="green"/>
              </w:rPr>
            </w:pPr>
          </w:p>
        </w:tc>
        <w:tc>
          <w:tcPr>
            <w:tcW w:w="5902" w:type="dxa"/>
          </w:tcPr>
          <w:p w14:paraId="791CA93B" w14:textId="77777777" w:rsidR="00B76D1F" w:rsidRPr="00173EE4" w:rsidRDefault="00B76D1F" w:rsidP="002B44BB">
            <w:proofErr w:type="spellStart"/>
            <w:r w:rsidRPr="002D51A3">
              <w:t>Thinqi</w:t>
            </w:r>
            <w:proofErr w:type="spellEnd"/>
            <w:r w:rsidRPr="002D51A3">
              <w:t xml:space="preserve"> obtains information about your team directly </w:t>
            </w:r>
            <w:r>
              <w:t>from Organisational Development</w:t>
            </w:r>
            <w:r w:rsidRPr="002D51A3">
              <w:t xml:space="preserve">, therefore it’s important that the commencement form is submitted promptly for processing. If your new team member will have a work email address, remember that you will also need to request New User access using ICT Self-Service on your desktop. Once these elements have been completed, </w:t>
            </w:r>
            <w:proofErr w:type="spellStart"/>
            <w:r w:rsidRPr="002D51A3">
              <w:t>Thinqi</w:t>
            </w:r>
            <w:proofErr w:type="spellEnd"/>
            <w:r w:rsidRPr="002D51A3">
              <w:t xml:space="preserve"> will obtain the information </w:t>
            </w:r>
            <w:r>
              <w:t>from Organisational Development</w:t>
            </w:r>
            <w:r w:rsidRPr="002D51A3">
              <w:t xml:space="preserve"> </w:t>
            </w:r>
            <w:r>
              <w:t xml:space="preserve">who will </w:t>
            </w:r>
            <w:r w:rsidRPr="002D51A3">
              <w:t>create the</w:t>
            </w:r>
            <w:r>
              <w:t xml:space="preserve"> account</w:t>
            </w:r>
            <w:r w:rsidRPr="002D51A3">
              <w:t>.  Essential Learning will automatically be assigned to the account. You will also be able to assign role specific learning once the account is active.</w:t>
            </w:r>
          </w:p>
        </w:tc>
      </w:tr>
      <w:tr w:rsidR="00B76D1F" w14:paraId="4560F103" w14:textId="77777777" w:rsidTr="002B44BB">
        <w:tc>
          <w:tcPr>
            <w:tcW w:w="3114" w:type="dxa"/>
          </w:tcPr>
          <w:p w14:paraId="0355F83B" w14:textId="77777777" w:rsidR="00B76D1F" w:rsidRPr="002D51A3" w:rsidRDefault="00B76D1F" w:rsidP="002B44BB">
            <w:r w:rsidRPr="002D51A3">
              <w:rPr>
                <w:b/>
                <w:bCs/>
              </w:rPr>
              <w:lastRenderedPageBreak/>
              <w:t xml:space="preserve">Is </w:t>
            </w:r>
            <w:proofErr w:type="spellStart"/>
            <w:r w:rsidRPr="002D51A3">
              <w:rPr>
                <w:b/>
                <w:bCs/>
              </w:rPr>
              <w:t>Thinqi</w:t>
            </w:r>
            <w:proofErr w:type="spellEnd"/>
            <w:r w:rsidRPr="002D51A3">
              <w:rPr>
                <w:b/>
                <w:bCs/>
              </w:rPr>
              <w:t xml:space="preserve"> available to all Council staff, including temporary and Agency workers?</w:t>
            </w:r>
          </w:p>
          <w:p w14:paraId="142099FF" w14:textId="77777777" w:rsidR="00B76D1F" w:rsidRPr="002D51A3" w:rsidRDefault="00B76D1F" w:rsidP="002B44BB">
            <w:pPr>
              <w:rPr>
                <w:b/>
                <w:bCs/>
              </w:rPr>
            </w:pPr>
          </w:p>
        </w:tc>
        <w:tc>
          <w:tcPr>
            <w:tcW w:w="5902" w:type="dxa"/>
          </w:tcPr>
          <w:p w14:paraId="41C085B5" w14:textId="77777777" w:rsidR="00B76D1F" w:rsidRPr="002D51A3" w:rsidRDefault="00B76D1F" w:rsidP="002B44BB">
            <w:r>
              <w:t xml:space="preserve">If </w:t>
            </w:r>
            <w:r w:rsidRPr="002D51A3">
              <w:t xml:space="preserve">you currently have any agency staff or students working with your team, </w:t>
            </w:r>
            <w:r>
              <w:t xml:space="preserve">and they are part of your staffing establishment they will have a </w:t>
            </w:r>
            <w:proofErr w:type="spellStart"/>
            <w:r>
              <w:t>Thinqi</w:t>
            </w:r>
            <w:proofErr w:type="spellEnd"/>
            <w:r>
              <w:t xml:space="preserve"> license.  </w:t>
            </w:r>
          </w:p>
          <w:p w14:paraId="11D641D4" w14:textId="77777777" w:rsidR="00B76D1F" w:rsidRDefault="00B76D1F" w:rsidP="002B44BB"/>
          <w:p w14:paraId="63A82A05" w14:textId="77777777" w:rsidR="00B76D1F" w:rsidRPr="002D51A3" w:rsidRDefault="00B76D1F" w:rsidP="002B44BB">
            <w:r>
              <w:t>If they are not part of your staffing establishment (for example, super-</w:t>
            </w:r>
            <w:proofErr w:type="spellStart"/>
            <w:r>
              <w:t>numery</w:t>
            </w:r>
            <w:proofErr w:type="spellEnd"/>
            <w:r>
              <w:t xml:space="preserve">) please contact </w:t>
            </w:r>
            <w:hyperlink r:id="rId7" w:history="1">
              <w:r w:rsidRPr="001979D2">
                <w:rPr>
                  <w:rStyle w:val="Hyperlink"/>
                </w:rPr>
                <w:t>thinqisupport@blaenau-gwent.gov.uk</w:t>
              </w:r>
            </w:hyperlink>
            <w:r>
              <w:t xml:space="preserve"> for advice on how they can access essential training courses. </w:t>
            </w:r>
          </w:p>
        </w:tc>
      </w:tr>
    </w:tbl>
    <w:p w14:paraId="330AC8D9" w14:textId="77777777" w:rsidR="00B76D1F" w:rsidRDefault="00B76D1F" w:rsidP="00B76D1F">
      <w:pPr>
        <w:rPr>
          <w:b/>
          <w:bCs/>
          <w:sz w:val="28"/>
          <w:szCs w:val="28"/>
          <w:highlight w:val="green"/>
        </w:rPr>
      </w:pPr>
    </w:p>
    <w:tbl>
      <w:tblPr>
        <w:tblStyle w:val="TableGrid"/>
        <w:tblW w:w="0" w:type="auto"/>
        <w:tblLook w:val="04A0" w:firstRow="1" w:lastRow="0" w:firstColumn="1" w:lastColumn="0" w:noHBand="0" w:noVBand="1"/>
      </w:tblPr>
      <w:tblGrid>
        <w:gridCol w:w="3114"/>
        <w:gridCol w:w="5902"/>
      </w:tblGrid>
      <w:tr w:rsidR="00B76D1F" w14:paraId="741A0FAB" w14:textId="77777777" w:rsidTr="002B44BB">
        <w:tc>
          <w:tcPr>
            <w:tcW w:w="9016" w:type="dxa"/>
            <w:gridSpan w:val="2"/>
          </w:tcPr>
          <w:p w14:paraId="3FC7EE9F" w14:textId="77777777" w:rsidR="00B76D1F" w:rsidRPr="003B3BBD" w:rsidRDefault="00B76D1F" w:rsidP="002B44BB">
            <w:pPr>
              <w:jc w:val="center"/>
              <w:rPr>
                <w:b/>
                <w:bCs/>
                <w:sz w:val="28"/>
                <w:szCs w:val="28"/>
                <w:highlight w:val="green"/>
              </w:rPr>
            </w:pPr>
            <w:r w:rsidRPr="003B3BBD">
              <w:rPr>
                <w:b/>
                <w:bCs/>
                <w:sz w:val="28"/>
                <w:szCs w:val="28"/>
              </w:rPr>
              <w:t xml:space="preserve">Frequently Asked Questions – </w:t>
            </w:r>
            <w:r>
              <w:rPr>
                <w:b/>
                <w:bCs/>
                <w:sz w:val="28"/>
                <w:szCs w:val="28"/>
              </w:rPr>
              <w:t xml:space="preserve">Learning </w:t>
            </w:r>
          </w:p>
        </w:tc>
      </w:tr>
      <w:tr w:rsidR="00B76D1F" w14:paraId="1E1E7D77" w14:textId="77777777" w:rsidTr="002B44BB">
        <w:tc>
          <w:tcPr>
            <w:tcW w:w="3114" w:type="dxa"/>
          </w:tcPr>
          <w:p w14:paraId="26D7FF05" w14:textId="77777777" w:rsidR="00B76D1F" w:rsidRPr="002D51A3" w:rsidRDefault="00B76D1F" w:rsidP="002B44BB">
            <w:r w:rsidRPr="002D51A3">
              <w:rPr>
                <w:b/>
                <w:bCs/>
              </w:rPr>
              <w:t>The e-learning that I’m trying to complete is giving an error message. Should I just leave it and try again another day?</w:t>
            </w:r>
          </w:p>
          <w:p w14:paraId="475F2BDF" w14:textId="77777777" w:rsidR="00B76D1F" w:rsidRPr="002D51A3" w:rsidRDefault="00B76D1F" w:rsidP="002B44BB">
            <w:pPr>
              <w:rPr>
                <w:b/>
                <w:bCs/>
              </w:rPr>
            </w:pPr>
          </w:p>
        </w:tc>
        <w:tc>
          <w:tcPr>
            <w:tcW w:w="5902" w:type="dxa"/>
          </w:tcPr>
          <w:p w14:paraId="2922E7AC" w14:textId="06F5A497" w:rsidR="00B76D1F" w:rsidRPr="002D51A3" w:rsidRDefault="00B76D1F" w:rsidP="002B44BB">
            <w:r w:rsidRPr="002D51A3">
              <w:t xml:space="preserve">Your feedback is invaluable to us, so please report any issues to </w:t>
            </w:r>
            <w:hyperlink r:id="rId8" w:history="1">
              <w:r w:rsidRPr="002D51A3">
                <w:rPr>
                  <w:rStyle w:val="Hyperlink"/>
                </w:rPr>
                <w:t>the</w:t>
              </w:r>
              <w:r w:rsidRPr="004B21D0">
                <w:rPr>
                  <w:rStyle w:val="Hyperlink"/>
                </w:rPr>
                <w:t>thinqisupport@blaenau-gwent.gov.uk</w:t>
              </w:r>
            </w:hyperlink>
            <w:r>
              <w:t xml:space="preserve"> email address or via the feedback form found </w:t>
            </w:r>
            <w:hyperlink r:id="rId9" w:history="1">
              <w:r w:rsidRPr="00B76D1F">
                <w:rPr>
                  <w:rStyle w:val="Hyperlink"/>
                </w:rPr>
                <w:t>here.</w:t>
              </w:r>
            </w:hyperlink>
            <w:r w:rsidRPr="002D51A3">
              <w:t xml:space="preserve"> It will help us to assist you more quickly if you can include a screenshot of the error in your email.</w:t>
            </w:r>
          </w:p>
          <w:p w14:paraId="3B1E8D46" w14:textId="77777777" w:rsidR="00B76D1F" w:rsidRPr="002D51A3" w:rsidRDefault="00B76D1F" w:rsidP="002B44BB"/>
        </w:tc>
      </w:tr>
      <w:tr w:rsidR="00B76D1F" w14:paraId="493C975E" w14:textId="77777777" w:rsidTr="002B44BB">
        <w:tc>
          <w:tcPr>
            <w:tcW w:w="3114" w:type="dxa"/>
          </w:tcPr>
          <w:p w14:paraId="12BFF934" w14:textId="77777777" w:rsidR="00B76D1F" w:rsidRPr="002D51A3" w:rsidRDefault="00B76D1F" w:rsidP="002B44BB">
            <w:r w:rsidRPr="002D51A3">
              <w:rPr>
                <w:b/>
                <w:bCs/>
              </w:rPr>
              <w:t>I have completed learning in a previous role. Can I add this to my learner record?</w:t>
            </w:r>
          </w:p>
          <w:p w14:paraId="69C7F17E" w14:textId="77777777" w:rsidR="00B76D1F" w:rsidRDefault="00B76D1F" w:rsidP="002B44BB">
            <w:pPr>
              <w:rPr>
                <w:b/>
                <w:bCs/>
                <w:sz w:val="28"/>
                <w:szCs w:val="28"/>
                <w:highlight w:val="green"/>
              </w:rPr>
            </w:pPr>
          </w:p>
        </w:tc>
        <w:tc>
          <w:tcPr>
            <w:tcW w:w="5902" w:type="dxa"/>
          </w:tcPr>
          <w:p w14:paraId="3688520E" w14:textId="77777777" w:rsidR="00B76D1F" w:rsidRPr="002D51A3" w:rsidRDefault="00B76D1F" w:rsidP="002B44BB">
            <w:r w:rsidRPr="002D51A3">
              <w:t xml:space="preserve">Yes, as a Learner, you can add prior learning through the </w:t>
            </w:r>
            <w:proofErr w:type="spellStart"/>
            <w:r w:rsidRPr="002D51A3">
              <w:t>Thinqi</w:t>
            </w:r>
            <w:proofErr w:type="spellEnd"/>
            <w:r w:rsidRPr="002D51A3">
              <w:t xml:space="preserve"> system. This can be accessed through the </w:t>
            </w:r>
            <w:r w:rsidRPr="002D51A3">
              <w:rPr>
                <w:b/>
                <w:bCs/>
              </w:rPr>
              <w:t>My Learning</w:t>
            </w:r>
            <w:r w:rsidRPr="002D51A3">
              <w:t> icon and </w:t>
            </w:r>
            <w:r w:rsidRPr="002D51A3">
              <w:rPr>
                <w:b/>
                <w:bCs/>
              </w:rPr>
              <w:t>CPD Record</w:t>
            </w:r>
            <w:r w:rsidRPr="002D51A3">
              <w:t xml:space="preserve"> tab. Details of the prior learning can be entered and once confirmed, an automatic trigger will be issued to your </w:t>
            </w:r>
            <w:proofErr w:type="gramStart"/>
            <w:r w:rsidRPr="002D51A3">
              <w:t>Manager</w:t>
            </w:r>
            <w:proofErr w:type="gramEnd"/>
            <w:r w:rsidRPr="002D51A3">
              <w:t xml:space="preserve"> for authorisation.</w:t>
            </w:r>
          </w:p>
          <w:p w14:paraId="26C0B06A" w14:textId="77777777" w:rsidR="00B76D1F" w:rsidRDefault="00B76D1F" w:rsidP="002B44BB">
            <w:pPr>
              <w:rPr>
                <w:b/>
                <w:bCs/>
                <w:sz w:val="28"/>
                <w:szCs w:val="28"/>
                <w:highlight w:val="green"/>
              </w:rPr>
            </w:pPr>
          </w:p>
        </w:tc>
      </w:tr>
      <w:tr w:rsidR="00B76D1F" w14:paraId="46BDB198" w14:textId="77777777" w:rsidTr="002B44BB">
        <w:tc>
          <w:tcPr>
            <w:tcW w:w="3114" w:type="dxa"/>
          </w:tcPr>
          <w:p w14:paraId="3487C837" w14:textId="77777777" w:rsidR="00B76D1F" w:rsidRPr="002D51A3" w:rsidRDefault="00B76D1F" w:rsidP="002B44BB">
            <w:r w:rsidRPr="002D51A3">
              <w:rPr>
                <w:b/>
                <w:bCs/>
              </w:rPr>
              <w:t xml:space="preserve">Why isn’t </w:t>
            </w:r>
            <w:proofErr w:type="gramStart"/>
            <w:r w:rsidRPr="002D51A3">
              <w:rPr>
                <w:b/>
                <w:bCs/>
              </w:rPr>
              <w:t>all of</w:t>
            </w:r>
            <w:proofErr w:type="gramEnd"/>
            <w:r w:rsidRPr="002D51A3">
              <w:rPr>
                <w:b/>
                <w:bCs/>
              </w:rPr>
              <w:t xml:space="preserve"> my prior learning showing on </w:t>
            </w:r>
            <w:proofErr w:type="spellStart"/>
            <w:r w:rsidRPr="002D51A3">
              <w:rPr>
                <w:b/>
                <w:bCs/>
              </w:rPr>
              <w:t>Thinqi</w:t>
            </w:r>
            <w:proofErr w:type="spellEnd"/>
            <w:r w:rsidRPr="002D51A3">
              <w:rPr>
                <w:b/>
                <w:bCs/>
              </w:rPr>
              <w:t>?</w:t>
            </w:r>
          </w:p>
          <w:p w14:paraId="5818C25E" w14:textId="77777777" w:rsidR="00B76D1F" w:rsidRDefault="00B76D1F" w:rsidP="002B44BB">
            <w:pPr>
              <w:rPr>
                <w:b/>
                <w:bCs/>
                <w:sz w:val="28"/>
                <w:szCs w:val="28"/>
                <w:highlight w:val="green"/>
              </w:rPr>
            </w:pPr>
          </w:p>
        </w:tc>
        <w:tc>
          <w:tcPr>
            <w:tcW w:w="5902" w:type="dxa"/>
          </w:tcPr>
          <w:p w14:paraId="48E56890" w14:textId="77777777" w:rsidR="00B76D1F" w:rsidRDefault="00B76D1F" w:rsidP="002B44BB">
            <w:r w:rsidRPr="002D51A3">
              <w:t xml:space="preserve">Any essential learning you have already completed will be saved and brought into </w:t>
            </w:r>
            <w:proofErr w:type="spellStart"/>
            <w:r w:rsidRPr="002D51A3">
              <w:t>Thinqi</w:t>
            </w:r>
            <w:proofErr w:type="spellEnd"/>
            <w:r w:rsidRPr="002D51A3">
              <w:t xml:space="preserve"> within 24 hours of your access being activated. Further departmental/specific learning records will follow as we engage with services and teams for such detail. </w:t>
            </w:r>
          </w:p>
          <w:p w14:paraId="23E9430B" w14:textId="77777777" w:rsidR="00B76D1F" w:rsidRPr="00173EE4" w:rsidRDefault="00B76D1F" w:rsidP="002B44BB"/>
        </w:tc>
      </w:tr>
      <w:tr w:rsidR="00B76D1F" w14:paraId="11CD1CA0" w14:textId="77777777" w:rsidTr="002B44BB">
        <w:tc>
          <w:tcPr>
            <w:tcW w:w="3114" w:type="dxa"/>
          </w:tcPr>
          <w:p w14:paraId="765301B0" w14:textId="77777777" w:rsidR="00B76D1F" w:rsidRPr="002D51A3" w:rsidRDefault="00B76D1F" w:rsidP="002B44BB">
            <w:r w:rsidRPr="002D51A3">
              <w:rPr>
                <w:b/>
                <w:bCs/>
              </w:rPr>
              <w:t>I’ve completed an e-learning module, but the badge hasn’t been awarded. What do I need to do?</w:t>
            </w:r>
          </w:p>
          <w:p w14:paraId="6974A53C" w14:textId="77777777" w:rsidR="00B76D1F" w:rsidRPr="002D51A3" w:rsidRDefault="00B76D1F" w:rsidP="002B44BB">
            <w:pPr>
              <w:rPr>
                <w:b/>
                <w:bCs/>
              </w:rPr>
            </w:pPr>
          </w:p>
        </w:tc>
        <w:tc>
          <w:tcPr>
            <w:tcW w:w="5902" w:type="dxa"/>
          </w:tcPr>
          <w:p w14:paraId="3AF3E901" w14:textId="77777777" w:rsidR="00B76D1F" w:rsidRDefault="00B76D1F" w:rsidP="002B44BB">
            <w:r w:rsidRPr="002D51A3">
              <w:t xml:space="preserve">Ensure that you have clicked ‘Start Badge’ </w:t>
            </w:r>
            <w:proofErr w:type="gramStart"/>
            <w:r w:rsidRPr="002D51A3">
              <w:t>in order to</w:t>
            </w:r>
            <w:proofErr w:type="gramEnd"/>
            <w:r w:rsidRPr="002D51A3">
              <w:t xml:space="preserve"> enrol on the badge. </w:t>
            </w:r>
            <w:proofErr w:type="spellStart"/>
            <w:r w:rsidRPr="002D51A3">
              <w:t>Thinqi</w:t>
            </w:r>
            <w:proofErr w:type="spellEnd"/>
            <w:r w:rsidRPr="002D51A3">
              <w:t xml:space="preserve"> will then recognise the completion and award the badge.</w:t>
            </w:r>
            <w:r>
              <w:t xml:space="preserve"> This can sometimes take a few minutes to show as complete.  </w:t>
            </w:r>
          </w:p>
          <w:p w14:paraId="3A3EAF05" w14:textId="77777777" w:rsidR="00B76D1F" w:rsidRPr="002D51A3" w:rsidRDefault="00B76D1F" w:rsidP="002B44BB"/>
        </w:tc>
      </w:tr>
      <w:tr w:rsidR="00B76D1F" w14:paraId="01CDBE90" w14:textId="77777777" w:rsidTr="002B44BB">
        <w:tc>
          <w:tcPr>
            <w:tcW w:w="3114" w:type="dxa"/>
          </w:tcPr>
          <w:p w14:paraId="04CFD662" w14:textId="77777777" w:rsidR="00B76D1F" w:rsidRPr="002D51A3" w:rsidRDefault="00B76D1F" w:rsidP="002B44BB">
            <w:r w:rsidRPr="002D51A3">
              <w:rPr>
                <w:b/>
                <w:bCs/>
              </w:rPr>
              <w:t xml:space="preserve">We provide training to staff within our department and would like to speak to someone about locating that training on </w:t>
            </w:r>
            <w:proofErr w:type="spellStart"/>
            <w:r w:rsidRPr="002D51A3">
              <w:rPr>
                <w:b/>
                <w:bCs/>
              </w:rPr>
              <w:t>Thinqi</w:t>
            </w:r>
            <w:proofErr w:type="spellEnd"/>
            <w:r w:rsidRPr="002D51A3">
              <w:rPr>
                <w:b/>
                <w:bCs/>
              </w:rPr>
              <w:t>.  Who do I contact?</w:t>
            </w:r>
          </w:p>
          <w:p w14:paraId="3460202E" w14:textId="77777777" w:rsidR="00B76D1F" w:rsidRPr="002D51A3" w:rsidRDefault="00B76D1F" w:rsidP="002B44BB">
            <w:pPr>
              <w:rPr>
                <w:b/>
                <w:bCs/>
              </w:rPr>
            </w:pPr>
          </w:p>
        </w:tc>
        <w:tc>
          <w:tcPr>
            <w:tcW w:w="5902" w:type="dxa"/>
          </w:tcPr>
          <w:p w14:paraId="66BF4F7D" w14:textId="77777777" w:rsidR="00B76D1F" w:rsidRDefault="00B76D1F" w:rsidP="002B44BB">
            <w:r w:rsidRPr="002D51A3">
              <w:t>Email </w:t>
            </w:r>
            <w:hyperlink r:id="rId10" w:history="1">
              <w:r w:rsidRPr="004B21D0">
                <w:rPr>
                  <w:rStyle w:val="Hyperlink"/>
                </w:rPr>
                <w:t>thinqisupport@blaenau-gwent.gov.uk</w:t>
              </w:r>
            </w:hyperlink>
            <w:r>
              <w:t xml:space="preserve"> </w:t>
            </w:r>
            <w:r w:rsidRPr="002D51A3">
              <w:t xml:space="preserve"> with details and a member of our </w:t>
            </w:r>
            <w:r>
              <w:t xml:space="preserve">team </w:t>
            </w:r>
            <w:r w:rsidRPr="002D51A3">
              <w:t>will contact you to discuss your requirements.</w:t>
            </w:r>
          </w:p>
          <w:p w14:paraId="545952E3" w14:textId="77777777" w:rsidR="00B76D1F" w:rsidRPr="002D51A3" w:rsidRDefault="00B76D1F" w:rsidP="002B44BB"/>
        </w:tc>
      </w:tr>
      <w:tr w:rsidR="00B76D1F" w14:paraId="0072A8DE" w14:textId="77777777" w:rsidTr="002B44BB">
        <w:tc>
          <w:tcPr>
            <w:tcW w:w="3114" w:type="dxa"/>
          </w:tcPr>
          <w:p w14:paraId="4D144399" w14:textId="77777777" w:rsidR="00B76D1F" w:rsidRPr="002D51A3" w:rsidRDefault="00B76D1F" w:rsidP="002B44BB">
            <w:r w:rsidRPr="002D51A3">
              <w:rPr>
                <w:b/>
                <w:bCs/>
              </w:rPr>
              <w:t xml:space="preserve">We would like to develop some new Digital Learning to be located on </w:t>
            </w:r>
            <w:proofErr w:type="spellStart"/>
            <w:r w:rsidRPr="002D51A3">
              <w:rPr>
                <w:b/>
                <w:bCs/>
              </w:rPr>
              <w:t>Thinqi</w:t>
            </w:r>
            <w:proofErr w:type="spellEnd"/>
            <w:r w:rsidRPr="002D51A3">
              <w:rPr>
                <w:b/>
                <w:bCs/>
              </w:rPr>
              <w:t>. Where do we start?</w:t>
            </w:r>
          </w:p>
          <w:p w14:paraId="1D7221A6" w14:textId="77777777" w:rsidR="00B76D1F" w:rsidRPr="002D51A3" w:rsidRDefault="00B76D1F" w:rsidP="002B44BB">
            <w:pPr>
              <w:rPr>
                <w:b/>
                <w:bCs/>
              </w:rPr>
            </w:pPr>
          </w:p>
        </w:tc>
        <w:tc>
          <w:tcPr>
            <w:tcW w:w="5902" w:type="dxa"/>
          </w:tcPr>
          <w:p w14:paraId="3E819859" w14:textId="77777777" w:rsidR="00B76D1F" w:rsidRPr="002D51A3" w:rsidRDefault="00B76D1F" w:rsidP="002B44BB">
            <w:r w:rsidRPr="002D51A3">
              <w:t>Email </w:t>
            </w:r>
            <w:hyperlink r:id="rId11" w:history="1">
              <w:r w:rsidRPr="004B21D0">
                <w:rPr>
                  <w:rStyle w:val="Hyperlink"/>
                </w:rPr>
                <w:t>thinqisupport@blaenau-gwent.gov.uk</w:t>
              </w:r>
            </w:hyperlink>
            <w:r>
              <w:t xml:space="preserve"> </w:t>
            </w:r>
            <w:r w:rsidRPr="002D51A3">
              <w:t>  with details and a member of our team will contact you to discuss your requirements.</w:t>
            </w:r>
          </w:p>
          <w:p w14:paraId="0CBE6D45" w14:textId="77777777" w:rsidR="00B76D1F" w:rsidRPr="002D51A3" w:rsidRDefault="00B76D1F" w:rsidP="002B44BB"/>
        </w:tc>
      </w:tr>
    </w:tbl>
    <w:p w14:paraId="1E43F7A4" w14:textId="77777777" w:rsidR="00DA7FF3" w:rsidRDefault="00DA7FF3"/>
    <w:sectPr w:rsidR="00DA7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1F"/>
    <w:rsid w:val="000858AD"/>
    <w:rsid w:val="003D16D9"/>
    <w:rsid w:val="00614239"/>
    <w:rsid w:val="006A725D"/>
    <w:rsid w:val="00AC5134"/>
    <w:rsid w:val="00B76D1F"/>
    <w:rsid w:val="00CB7650"/>
    <w:rsid w:val="00D0114B"/>
    <w:rsid w:val="00DA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514F"/>
  <w15:chartTrackingRefBased/>
  <w15:docId w15:val="{24ECD672-BE1A-4860-AF38-961A9967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1F"/>
  </w:style>
  <w:style w:type="paragraph" w:styleId="Heading1">
    <w:name w:val="heading 1"/>
    <w:basedOn w:val="Normal"/>
    <w:next w:val="Normal"/>
    <w:link w:val="Heading1Char"/>
    <w:uiPriority w:val="9"/>
    <w:qFormat/>
    <w:rsid w:val="00B76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D1F"/>
    <w:rPr>
      <w:rFonts w:eastAsiaTheme="majorEastAsia" w:cstheme="majorBidi"/>
      <w:color w:val="272727" w:themeColor="text1" w:themeTint="D8"/>
    </w:rPr>
  </w:style>
  <w:style w:type="paragraph" w:styleId="Title">
    <w:name w:val="Title"/>
    <w:basedOn w:val="Normal"/>
    <w:next w:val="Normal"/>
    <w:link w:val="TitleChar"/>
    <w:uiPriority w:val="10"/>
    <w:qFormat/>
    <w:rsid w:val="00B76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D1F"/>
    <w:pPr>
      <w:spacing w:before="160"/>
      <w:jc w:val="center"/>
    </w:pPr>
    <w:rPr>
      <w:i/>
      <w:iCs/>
      <w:color w:val="404040" w:themeColor="text1" w:themeTint="BF"/>
    </w:rPr>
  </w:style>
  <w:style w:type="character" w:customStyle="1" w:styleId="QuoteChar">
    <w:name w:val="Quote Char"/>
    <w:basedOn w:val="DefaultParagraphFont"/>
    <w:link w:val="Quote"/>
    <w:uiPriority w:val="29"/>
    <w:rsid w:val="00B76D1F"/>
    <w:rPr>
      <w:i/>
      <w:iCs/>
      <w:color w:val="404040" w:themeColor="text1" w:themeTint="BF"/>
    </w:rPr>
  </w:style>
  <w:style w:type="paragraph" w:styleId="ListParagraph">
    <w:name w:val="List Paragraph"/>
    <w:basedOn w:val="Normal"/>
    <w:uiPriority w:val="34"/>
    <w:qFormat/>
    <w:rsid w:val="00B76D1F"/>
    <w:pPr>
      <w:ind w:left="720"/>
      <w:contextualSpacing/>
    </w:pPr>
  </w:style>
  <w:style w:type="character" w:styleId="IntenseEmphasis">
    <w:name w:val="Intense Emphasis"/>
    <w:basedOn w:val="DefaultParagraphFont"/>
    <w:uiPriority w:val="21"/>
    <w:qFormat/>
    <w:rsid w:val="00B76D1F"/>
    <w:rPr>
      <w:i/>
      <w:iCs/>
      <w:color w:val="0F4761" w:themeColor="accent1" w:themeShade="BF"/>
    </w:rPr>
  </w:style>
  <w:style w:type="paragraph" w:styleId="IntenseQuote">
    <w:name w:val="Intense Quote"/>
    <w:basedOn w:val="Normal"/>
    <w:next w:val="Normal"/>
    <w:link w:val="IntenseQuoteChar"/>
    <w:uiPriority w:val="30"/>
    <w:qFormat/>
    <w:rsid w:val="00B76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D1F"/>
    <w:rPr>
      <w:i/>
      <w:iCs/>
      <w:color w:val="0F4761" w:themeColor="accent1" w:themeShade="BF"/>
    </w:rPr>
  </w:style>
  <w:style w:type="character" w:styleId="IntenseReference">
    <w:name w:val="Intense Reference"/>
    <w:basedOn w:val="DefaultParagraphFont"/>
    <w:uiPriority w:val="32"/>
    <w:qFormat/>
    <w:rsid w:val="00B76D1F"/>
    <w:rPr>
      <w:b/>
      <w:bCs/>
      <w:smallCaps/>
      <w:color w:val="0F4761" w:themeColor="accent1" w:themeShade="BF"/>
      <w:spacing w:val="5"/>
    </w:rPr>
  </w:style>
  <w:style w:type="table" w:styleId="TableGrid">
    <w:name w:val="Table Grid"/>
    <w:basedOn w:val="TableNormal"/>
    <w:uiPriority w:val="39"/>
    <w:rsid w:val="00B7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D1F"/>
    <w:rPr>
      <w:color w:val="467886" w:themeColor="hyperlink"/>
      <w:u w:val="single"/>
    </w:rPr>
  </w:style>
  <w:style w:type="character" w:styleId="UnresolvedMention">
    <w:name w:val="Unresolved Mention"/>
    <w:basedOn w:val="DefaultParagraphFont"/>
    <w:uiPriority w:val="99"/>
    <w:semiHidden/>
    <w:unhideWhenUsed/>
    <w:rsid w:val="00B76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thinqisupport@blaenau-gwent.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hinqisupport@blaenau-gwent.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payroll@blaenau-gwent.gov.uk" TargetMode="External"/><Relationship Id="rId11" Type="http://schemas.openxmlformats.org/officeDocument/2006/relationships/hyperlink" Target="mailto:thinqisupport@blaenau-gwent.gov.uk" TargetMode="External"/><Relationship Id="rId5" Type="http://schemas.openxmlformats.org/officeDocument/2006/relationships/hyperlink" Target="mailto:thinqisupport@blaenau-gwent.gov.uk" TargetMode="External"/><Relationship Id="rId10" Type="http://schemas.openxmlformats.org/officeDocument/2006/relationships/hyperlink" Target="mailto:thinqisupport@blaenau-gwent.gov.uk" TargetMode="External"/><Relationship Id="rId4" Type="http://schemas.openxmlformats.org/officeDocument/2006/relationships/hyperlink" Target="https://bg-itrent-live.bgcbc.bg.net/bgitlive_ess/ess/dist/" TargetMode="External"/><Relationship Id="rId9" Type="http://schemas.openxmlformats.org/officeDocument/2006/relationships/hyperlink" Target="https://forms.office.com/pages/responsepage.aspx?id=eQBNLCzFs0uzytjq8ba31WICutvRHItKn_PXae8jvStUM0RZTVFYOVRLWDdYS0xORUcxU0U4SDdZMCQlQCN0PWcu&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Carolyn</dc:creator>
  <cp:keywords/>
  <dc:description/>
  <cp:lastModifiedBy>Jenkins, Carolyn</cp:lastModifiedBy>
  <cp:revision>2</cp:revision>
  <dcterms:created xsi:type="dcterms:W3CDTF">2025-01-15T14:21:00Z</dcterms:created>
  <dcterms:modified xsi:type="dcterms:W3CDTF">2025-01-15T14:21:00Z</dcterms:modified>
</cp:coreProperties>
</file>